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-609599</wp:posOffset>
            </wp:positionH>
            <wp:positionV relativeFrom="paragraph">
              <wp:posOffset>0</wp:posOffset>
            </wp:positionV>
            <wp:extent cx="2077720" cy="49657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-160" l="-37" r="-38" t="-160"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496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895475" cy="406400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78" l="-16" r="-14" t="-79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06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vertAlign w:val="baseline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vertAlign w:val="baseline"/>
          <w:rtl w:val="0"/>
        </w:rPr>
        <w:t xml:space="preserve">DECLARAÇÃO DE PARENTESCO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Ind w:w="-55.0" w:type="dxa"/>
        <w:tblLayout w:type="fixed"/>
        <w:tblLook w:val="0000"/>
      </w:tblPr>
      <w:tblGrid>
        <w:gridCol w:w="1365"/>
        <w:gridCol w:w="7139"/>
        <w:tblGridChange w:id="0">
          <w:tblGrid>
            <w:gridCol w:w="1365"/>
            <w:gridCol w:w="71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DECLARO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Não possuo, assim como nenhum dos membros da executiva da entidade, cônjuge, companheiro ou parente em linha reta ou colateral, por cosangüinidade ou afinidade, até o terceiro grau, inclusive, na Comissão de Avaliação e Seleção (CASP) da Secretaria Municipal de Educação e Desporto (SMED), ocupando cargo em comissão ou função de confiança.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right="0" w:firstLine="0"/>
        <w:jc w:val="both"/>
        <w:rPr>
          <w:rFonts w:ascii="Calibri" w:cs="Calibri" w:eastAsia="Calibri" w:hAnsi="Calibri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Declaro para os fins aqui registrados que as informações são verdadeiras, sob pena de responder por crime de Falsidade Ideológica, nos termos do Art. 299, do Código Penal.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Pelotas/RS, (colocar a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INTEGRANTES DA EXECUTIVA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-108.0" w:type="dxa"/>
        <w:tblLayout w:type="fixed"/>
        <w:tblLook w:val="00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Assinatura do Presidente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Assinatura do Vice-Presidente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Assinatura do Secretário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Assinatura do Tesoureiro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Assinatura do 2º Secretário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Assinatura do 2º Tesoureiro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Assinatura do 1º Suplente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Assinatura do 2º Suplente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Assinatura do 3º Suplente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*Parentesco: pai/mãe, padrasto/madrasta, filhos, irmãos, tios, sobrinhos, avós, netos, bisavós, bisnetos do servidor e de seu cônjuge/companheiro, bem como nas relações homoafetivas.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5UmH9IHfT6JuP/AfjbMRyu+MHg==">CgMxLjA4AHIhMTBzdVV6S05YQlQzZUItOFl4SGtYRzViSk1MSHAwa1Rt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